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9346" w14:textId="77777777" w:rsidR="004965BF" w:rsidRDefault="00062F91">
      <w:pPr>
        <w:widowControl/>
        <w:spacing w:line="276" w:lineRule="auto"/>
        <w:jc w:val="center"/>
        <w:rPr>
          <w:rFonts w:ascii="Old Standard TT" w:eastAsia="Old Standard TT" w:hAnsi="Old Standard TT" w:cs="Old Standard TT"/>
          <w:b/>
          <w:sz w:val="28"/>
          <w:szCs w:val="28"/>
        </w:rPr>
      </w:pPr>
      <w:r>
        <w:rPr>
          <w:rFonts w:ascii="Old Standard TT" w:eastAsia="Old Standard TT" w:hAnsi="Old Standard TT" w:cs="Old Standard TT"/>
          <w:b/>
          <w:noProof/>
          <w:sz w:val="28"/>
          <w:szCs w:val="28"/>
        </w:rPr>
        <w:drawing>
          <wp:inline distT="19050" distB="19050" distL="19050" distR="19050" wp14:anchorId="52E9D369" wp14:editId="6F604140">
            <wp:extent cx="3609975" cy="5327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09975" cy="532770"/>
                    </a:xfrm>
                    <a:prstGeom prst="rect">
                      <a:avLst/>
                    </a:prstGeom>
                    <a:ln/>
                  </pic:spPr>
                </pic:pic>
              </a:graphicData>
            </a:graphic>
          </wp:inline>
        </w:drawing>
      </w:r>
    </w:p>
    <w:p w14:paraId="38DDB607" w14:textId="77777777" w:rsidR="004965BF" w:rsidRDefault="004965BF">
      <w:pPr>
        <w:widowControl/>
        <w:spacing w:line="276" w:lineRule="auto"/>
        <w:rPr>
          <w:rFonts w:ascii="Old Standard TT" w:eastAsia="Old Standard TT" w:hAnsi="Old Standard TT" w:cs="Old Standard TT"/>
          <w:b/>
          <w:sz w:val="16"/>
          <w:szCs w:val="16"/>
        </w:rPr>
      </w:pPr>
    </w:p>
    <w:p w14:paraId="2C9CFCF7" w14:textId="77777777" w:rsidR="004965BF" w:rsidRDefault="00062F91">
      <w:pPr>
        <w:widowControl/>
        <w:spacing w:line="276" w:lineRule="auto"/>
        <w:jc w:val="center"/>
        <w:rPr>
          <w:rFonts w:ascii="Old Standard TT" w:eastAsia="Old Standard TT" w:hAnsi="Old Standard TT" w:cs="Old Standard TT"/>
          <w:b/>
          <w:sz w:val="30"/>
          <w:szCs w:val="30"/>
        </w:rPr>
      </w:pPr>
      <w:r>
        <w:rPr>
          <w:rFonts w:ascii="Old Standard TT" w:eastAsia="Old Standard TT" w:hAnsi="Old Standard TT" w:cs="Old Standard TT"/>
          <w:b/>
          <w:sz w:val="30"/>
          <w:szCs w:val="30"/>
        </w:rPr>
        <w:t xml:space="preserve">Full STEAM Ahead: </w:t>
      </w:r>
    </w:p>
    <w:p w14:paraId="1DA16214" w14:textId="77777777" w:rsidR="004965BF" w:rsidRDefault="00062F91">
      <w:pPr>
        <w:widowControl/>
        <w:spacing w:line="276" w:lineRule="auto"/>
        <w:jc w:val="center"/>
        <w:rPr>
          <w:rFonts w:ascii="Old Standard TT" w:eastAsia="Old Standard TT" w:hAnsi="Old Standard TT" w:cs="Old Standard TT"/>
          <w:sz w:val="24"/>
          <w:szCs w:val="24"/>
        </w:rPr>
      </w:pPr>
      <w:r>
        <w:rPr>
          <w:rFonts w:ascii="Old Standard TT" w:eastAsia="Old Standard TT" w:hAnsi="Old Standard TT" w:cs="Old Standard TT"/>
          <w:b/>
          <w:sz w:val="30"/>
          <w:szCs w:val="30"/>
        </w:rPr>
        <w:t>Connecting Library of Congress Primary Sources and Graphic Novels</w:t>
      </w:r>
    </w:p>
    <w:p w14:paraId="533C64A5" w14:textId="77777777" w:rsidR="004965BF" w:rsidRDefault="004965BF">
      <w:pPr>
        <w:pBdr>
          <w:top w:val="nil"/>
          <w:left w:val="nil"/>
          <w:bottom w:val="nil"/>
          <w:right w:val="nil"/>
          <w:between w:val="nil"/>
        </w:pBdr>
        <w:spacing w:line="276" w:lineRule="auto"/>
        <w:jc w:val="center"/>
        <w:rPr>
          <w:rFonts w:ascii="Old Standard TT" w:eastAsia="Old Standard TT" w:hAnsi="Old Standard TT" w:cs="Old Standard TT"/>
          <w:sz w:val="24"/>
          <w:szCs w:val="24"/>
        </w:rPr>
      </w:pPr>
    </w:p>
    <w:tbl>
      <w:tblPr>
        <w:tblStyle w:val="ae"/>
        <w:tblW w:w="10463"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9"/>
        <w:gridCol w:w="7532"/>
        <w:gridCol w:w="32"/>
      </w:tblGrid>
      <w:tr w:rsidR="004965BF" w14:paraId="1655072E" w14:textId="77777777">
        <w:trPr>
          <w:gridAfter w:val="1"/>
          <w:wAfter w:w="32" w:type="dxa"/>
          <w:trHeight w:val="570"/>
        </w:trPr>
        <w:tc>
          <w:tcPr>
            <w:tcW w:w="10431" w:type="dxa"/>
            <w:gridSpan w:val="2"/>
            <w:tcBorders>
              <w:top w:val="single" w:sz="6" w:space="0" w:color="000000"/>
              <w:left w:val="single" w:sz="6" w:space="0" w:color="000000"/>
              <w:bottom w:val="single" w:sz="6" w:space="0" w:color="000000"/>
              <w:right w:val="single" w:sz="6" w:space="0" w:color="000000"/>
            </w:tcBorders>
            <w:shd w:val="clear" w:color="auto" w:fill="A6A6A6"/>
          </w:tcPr>
          <w:p w14:paraId="4EEDDD71" w14:textId="77777777" w:rsidR="004965BF" w:rsidRDefault="00062F91">
            <w:pPr>
              <w:pBdr>
                <w:top w:val="nil"/>
                <w:left w:val="nil"/>
                <w:bottom w:val="nil"/>
                <w:right w:val="nil"/>
                <w:between w:val="nil"/>
              </w:pBdr>
              <w:spacing w:line="270" w:lineRule="auto"/>
              <w:jc w:val="center"/>
              <w:rPr>
                <w:rFonts w:ascii="Old Standard TT" w:eastAsia="Old Standard TT" w:hAnsi="Old Standard TT" w:cs="Old Standard TT"/>
                <w:b/>
                <w:color w:val="000000"/>
                <w:sz w:val="28"/>
                <w:szCs w:val="28"/>
              </w:rPr>
            </w:pPr>
            <w:r>
              <w:rPr>
                <w:rFonts w:ascii="Old Standard TT" w:eastAsia="Old Standard TT" w:hAnsi="Old Standard TT" w:cs="Old Standard TT"/>
                <w:b/>
                <w:sz w:val="28"/>
                <w:szCs w:val="28"/>
              </w:rPr>
              <w:t>Lesson Plan Template</w:t>
            </w:r>
          </w:p>
        </w:tc>
      </w:tr>
      <w:tr w:rsidR="004965BF" w14:paraId="70A25812" w14:textId="77777777">
        <w:trPr>
          <w:trHeight w:val="1140"/>
        </w:trPr>
        <w:tc>
          <w:tcPr>
            <w:tcW w:w="10431" w:type="dxa"/>
            <w:gridSpan w:val="2"/>
            <w:tcBorders>
              <w:top w:val="single" w:sz="6" w:space="0" w:color="000000"/>
              <w:left w:val="single" w:sz="5" w:space="0" w:color="000000"/>
              <w:bottom w:val="single" w:sz="5" w:space="0" w:color="000000"/>
              <w:right w:val="single" w:sz="5" w:space="0" w:color="000000"/>
            </w:tcBorders>
            <w:shd w:val="clear" w:color="auto" w:fill="FFFFFF"/>
          </w:tcPr>
          <w:p w14:paraId="57011BFE" w14:textId="77777777" w:rsidR="004965BF" w:rsidRDefault="00062F91">
            <w:pPr>
              <w:spacing w:before="9"/>
              <w:rPr>
                <w:rFonts w:ascii="Old Standard TT" w:eastAsia="Old Standard TT" w:hAnsi="Old Standard TT" w:cs="Old Standard TT"/>
                <w:b/>
              </w:rPr>
            </w:pPr>
            <w:r>
              <w:rPr>
                <w:rFonts w:ascii="Old Standard TT" w:eastAsia="Old Standard TT" w:hAnsi="Old Standard TT" w:cs="Old Standard TT"/>
                <w:b/>
              </w:rPr>
              <w:t xml:space="preserve">Author(s): </w:t>
            </w:r>
            <w:r w:rsidR="002F1514">
              <w:rPr>
                <w:rFonts w:ascii="Old Standard TT" w:eastAsia="Old Standard TT" w:hAnsi="Old Standard TT" w:cs="Old Standard TT"/>
                <w:b/>
              </w:rPr>
              <w:t xml:space="preserve"> Laura Haverkamp and Elizabeth Jenkins</w:t>
            </w:r>
          </w:p>
          <w:p w14:paraId="609BC686" w14:textId="77777777" w:rsidR="004965BF" w:rsidRDefault="004965BF">
            <w:pPr>
              <w:ind w:left="109"/>
              <w:rPr>
                <w:rFonts w:ascii="Old Standard TT" w:eastAsia="Old Standard TT" w:hAnsi="Old Standard TT" w:cs="Old Standard TT"/>
                <w:b/>
              </w:rPr>
            </w:pPr>
          </w:p>
        </w:tc>
        <w:tc>
          <w:tcPr>
            <w:tcW w:w="32" w:type="dxa"/>
            <w:tcBorders>
              <w:top w:val="single" w:sz="6" w:space="0" w:color="000000"/>
              <w:left w:val="single" w:sz="5" w:space="0" w:color="000000"/>
              <w:bottom w:val="single" w:sz="5" w:space="0" w:color="000000"/>
              <w:right w:val="single" w:sz="5" w:space="0" w:color="000000"/>
            </w:tcBorders>
            <w:shd w:val="clear" w:color="auto" w:fill="FFFFFF"/>
          </w:tcPr>
          <w:p w14:paraId="531BE80F" w14:textId="77777777" w:rsidR="004965BF" w:rsidRDefault="004965BF">
            <w:pPr>
              <w:rPr>
                <w:rFonts w:ascii="Old Standard TT" w:eastAsia="Old Standard TT" w:hAnsi="Old Standard TT" w:cs="Old Standard TT"/>
              </w:rPr>
            </w:pPr>
          </w:p>
        </w:tc>
      </w:tr>
      <w:tr w:rsidR="004965BF" w14:paraId="3387B180"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1F199577" w14:textId="77777777" w:rsidR="004965BF" w:rsidRDefault="00062F91">
            <w:pPr>
              <w:rPr>
                <w:rFonts w:ascii="Old Standard TT" w:eastAsia="Old Standard TT" w:hAnsi="Old Standard TT" w:cs="Old Standard TT"/>
              </w:rPr>
            </w:pPr>
            <w:r>
              <w:rPr>
                <w:rFonts w:ascii="Old Standard TT" w:eastAsia="Old Standard TT" w:hAnsi="Old Standard TT" w:cs="Old Standard TT"/>
                <w:b/>
              </w:rPr>
              <w:t>Grade Level(s):</w:t>
            </w:r>
            <w:r w:rsidR="002F1514">
              <w:rPr>
                <w:rFonts w:ascii="Old Standard TT" w:eastAsia="Old Standard TT" w:hAnsi="Old Standard TT" w:cs="Old Standard TT"/>
                <w:b/>
              </w:rPr>
              <w:t xml:space="preserve"> Grade 11</w:t>
            </w:r>
          </w:p>
        </w:tc>
      </w:tr>
      <w:tr w:rsidR="004965BF" w14:paraId="0798894D"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77B148F9"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Subject:</w:t>
            </w:r>
            <w:r w:rsidR="002F1514">
              <w:rPr>
                <w:rFonts w:ascii="Old Standard TT" w:eastAsia="Old Standard TT" w:hAnsi="Old Standard TT" w:cs="Old Standard TT"/>
                <w:b/>
              </w:rPr>
              <w:t xml:space="preserve"> US History</w:t>
            </w:r>
          </w:p>
          <w:p w14:paraId="6749719D" w14:textId="77777777" w:rsidR="004965BF" w:rsidRDefault="004965BF">
            <w:pPr>
              <w:pBdr>
                <w:top w:val="nil"/>
                <w:left w:val="nil"/>
                <w:bottom w:val="nil"/>
                <w:right w:val="nil"/>
                <w:between w:val="nil"/>
              </w:pBdr>
              <w:rPr>
                <w:rFonts w:ascii="Old Standard TT" w:eastAsia="Old Standard TT" w:hAnsi="Old Standard TT" w:cs="Old Standard TT"/>
                <w:b/>
              </w:rPr>
            </w:pPr>
          </w:p>
        </w:tc>
      </w:tr>
      <w:tr w:rsidR="004965BF" w14:paraId="6A104D6F" w14:textId="77777777">
        <w:trPr>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01D80CB8"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color w:val="000000"/>
              </w:rPr>
              <w:t>Length of Class:</w:t>
            </w:r>
            <w:r w:rsidR="002F1514">
              <w:rPr>
                <w:rFonts w:ascii="Old Standard TT" w:eastAsia="Old Standard TT" w:hAnsi="Old Standard TT" w:cs="Old Standard TT"/>
                <w:b/>
                <w:color w:val="000000"/>
              </w:rPr>
              <w:t xml:space="preserve"> </w:t>
            </w:r>
            <w:r w:rsidR="00D55C25">
              <w:rPr>
                <w:rFonts w:ascii="Old Standard TT" w:eastAsia="Old Standard TT" w:hAnsi="Old Standard TT" w:cs="Old Standard TT"/>
                <w:b/>
                <w:color w:val="000000"/>
              </w:rPr>
              <w:t>2 blocks ~3 hours</w:t>
            </w:r>
          </w:p>
          <w:p w14:paraId="586C95BB" w14:textId="77777777" w:rsidR="004965BF" w:rsidRDefault="004965BF">
            <w:pPr>
              <w:rPr>
                <w:rFonts w:ascii="Old Standard TT" w:eastAsia="Old Standard TT" w:hAnsi="Old Standard TT" w:cs="Old Standard TT"/>
                <w:b/>
              </w:rPr>
            </w:pPr>
          </w:p>
          <w:p w14:paraId="58B90B30" w14:textId="77777777" w:rsidR="004965BF" w:rsidRDefault="004965BF">
            <w:pPr>
              <w:ind w:left="109"/>
              <w:rPr>
                <w:rFonts w:ascii="Old Standard TT" w:eastAsia="Old Standard TT" w:hAnsi="Old Standard TT" w:cs="Old Standard TT"/>
                <w:b/>
              </w:rPr>
            </w:pPr>
          </w:p>
        </w:tc>
        <w:tc>
          <w:tcPr>
            <w:tcW w:w="32" w:type="dxa"/>
            <w:tcBorders>
              <w:top w:val="single" w:sz="5" w:space="0" w:color="000000"/>
              <w:left w:val="single" w:sz="5" w:space="0" w:color="000000"/>
              <w:bottom w:val="single" w:sz="5" w:space="0" w:color="000000"/>
              <w:right w:val="single" w:sz="5" w:space="0" w:color="000000"/>
            </w:tcBorders>
            <w:shd w:val="clear" w:color="auto" w:fill="FFFFFF"/>
          </w:tcPr>
          <w:p w14:paraId="4DEF22A1" w14:textId="77777777" w:rsidR="004965BF" w:rsidRDefault="004965BF">
            <w:pPr>
              <w:rPr>
                <w:rFonts w:ascii="Old Standard TT" w:eastAsia="Old Standard TT" w:hAnsi="Old Standard TT" w:cs="Old Standard TT"/>
              </w:rPr>
            </w:pPr>
          </w:p>
        </w:tc>
      </w:tr>
      <w:tr w:rsidR="004965BF" w14:paraId="6C2FAE95"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0E777817" w14:textId="77777777" w:rsidR="004965BF" w:rsidRDefault="004965BF">
            <w:pPr>
              <w:rPr>
                <w:rFonts w:ascii="Old Standard TT" w:eastAsia="Old Standard TT" w:hAnsi="Old Standard TT" w:cs="Old Standard TT"/>
              </w:rPr>
            </w:pPr>
          </w:p>
          <w:p w14:paraId="1846B8E4" w14:textId="77777777" w:rsidR="004965BF" w:rsidRDefault="002B740F" w:rsidP="002B740F">
            <w:pPr>
              <w:jc w:val="center"/>
              <w:rPr>
                <w:rFonts w:ascii="Old Standard TT" w:eastAsia="Old Standard TT" w:hAnsi="Old Standard TT" w:cs="Old Standard TT"/>
              </w:rPr>
            </w:pPr>
            <w:r w:rsidRPr="002B740F">
              <w:rPr>
                <w:rFonts w:ascii="Old Standard TT" w:eastAsia="Old Standard TT" w:hAnsi="Old Standard TT" w:cs="Old Standard TT"/>
                <w:b/>
                <w:noProof/>
              </w:rPr>
              <w:drawing>
                <wp:inline distT="0" distB="0" distL="0" distR="0" wp14:anchorId="5AB439D9" wp14:editId="4F1C0E93">
                  <wp:extent cx="2438400" cy="2914650"/>
                  <wp:effectExtent l="0" t="0" r="0" b="0"/>
                  <wp:docPr id="1" name="Picture 1" descr="https://tile.loc.gov/image-services/iiif/service:pnp:highsm:05100:05123/full/pct:6.25/0/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le.loc.gov/image-services/iiif/service:pnp:highsm:05100:05123/full/pct:6.25/0/defau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914650"/>
                          </a:xfrm>
                          <a:prstGeom prst="rect">
                            <a:avLst/>
                          </a:prstGeom>
                          <a:noFill/>
                          <a:ln>
                            <a:noFill/>
                          </a:ln>
                        </pic:spPr>
                      </pic:pic>
                    </a:graphicData>
                  </a:graphic>
                </wp:inline>
              </w:drawing>
            </w:r>
            <w:r>
              <w:rPr>
                <w:rFonts w:ascii="Old Standard TT" w:eastAsia="Old Standard TT" w:hAnsi="Old Standard TT" w:cs="Old Standard TT"/>
              </w:rPr>
              <w:t xml:space="preserve"> </w:t>
            </w:r>
          </w:p>
        </w:tc>
      </w:tr>
      <w:tr w:rsidR="004965BF" w14:paraId="29F42922"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7C498D53" w14:textId="77777777" w:rsidR="004965BF" w:rsidRDefault="00062F91">
            <w:pPr>
              <w:rPr>
                <w:rFonts w:ascii="Old Standard TT" w:eastAsia="Old Standard TT" w:hAnsi="Old Standard TT" w:cs="Old Standard TT"/>
                <w:b/>
              </w:rPr>
            </w:pPr>
            <w:r>
              <w:rPr>
                <w:rFonts w:ascii="Old Standard TT" w:eastAsia="Old Standard TT" w:hAnsi="Old Standard TT" w:cs="Old Standard TT"/>
                <w:b/>
              </w:rPr>
              <w:t>Image Citation:</w:t>
            </w:r>
          </w:p>
          <w:p w14:paraId="2CBFAB74" w14:textId="77777777" w:rsidR="004965BF" w:rsidRDefault="002B740F">
            <w:pPr>
              <w:rPr>
                <w:rFonts w:ascii="Old Standard TT" w:eastAsia="Old Standard TT" w:hAnsi="Old Standard TT" w:cs="Old Standard TT"/>
                <w:b/>
              </w:rPr>
            </w:pPr>
            <w:r>
              <w:rPr>
                <w:rFonts w:ascii="Arial" w:hAnsi="Arial" w:cs="Arial"/>
                <w:color w:val="242424"/>
                <w:sz w:val="21"/>
                <w:szCs w:val="21"/>
                <w:shd w:val="clear" w:color="auto" w:fill="F6F6F6"/>
              </w:rPr>
              <w:t>Highsmith, C. M., photographer. (2010) </w:t>
            </w:r>
            <w:r>
              <w:rPr>
                <w:rStyle w:val="HTMLCite"/>
                <w:rFonts w:ascii="Arial" w:hAnsi="Arial" w:cs="Arial"/>
                <w:color w:val="242424"/>
                <w:sz w:val="21"/>
                <w:szCs w:val="21"/>
                <w:shd w:val="clear" w:color="auto" w:fill="F6F6F6"/>
              </w:rPr>
              <w:t>Classroom exhibit, Birmingham Civil Rights Institute, Birmingham, Alabama</w:t>
            </w:r>
            <w:r>
              <w:rPr>
                <w:rFonts w:ascii="Arial" w:hAnsi="Arial" w:cs="Arial"/>
                <w:color w:val="242424"/>
                <w:sz w:val="21"/>
                <w:szCs w:val="21"/>
                <w:shd w:val="clear" w:color="auto" w:fill="F6F6F6"/>
              </w:rPr>
              <w:t>. United States Alabama Birmingham, 2010. March 3. [Photograph] Retrieved from the Library of Congress, https://www.loc.gov/item/2010636993/.</w:t>
            </w:r>
          </w:p>
          <w:p w14:paraId="5021562F" w14:textId="77777777" w:rsidR="004965BF" w:rsidRDefault="004965BF">
            <w:pPr>
              <w:rPr>
                <w:rFonts w:ascii="Old Standard TT" w:eastAsia="Old Standard TT" w:hAnsi="Old Standard TT" w:cs="Old Standard TT"/>
                <w:b/>
              </w:rPr>
            </w:pPr>
          </w:p>
        </w:tc>
      </w:tr>
      <w:tr w:rsidR="004965BF" w14:paraId="33D4BB00"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16DAD1F3" w14:textId="77777777" w:rsidR="004965BF" w:rsidRDefault="00062F91">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lastRenderedPageBreak/>
              <w:t>Lesson Title:</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63B50D86" w14:textId="77777777" w:rsidR="004965BF" w:rsidRDefault="002F1514" w:rsidP="002F1514">
            <w:pPr>
              <w:rPr>
                <w:rFonts w:ascii="Old Standard TT" w:eastAsia="Old Standard TT" w:hAnsi="Old Standard TT" w:cs="Old Standard TT"/>
              </w:rPr>
            </w:pPr>
            <w:r>
              <w:rPr>
                <w:rFonts w:ascii="Old Standard TT" w:eastAsia="Old Standard TT" w:hAnsi="Old Standard TT" w:cs="Old Standard TT"/>
              </w:rPr>
              <w:t xml:space="preserve"> Information </w:t>
            </w:r>
            <w:r w:rsidR="002B740F">
              <w:rPr>
                <w:rFonts w:ascii="Old Standard TT" w:eastAsia="Old Standard TT" w:hAnsi="Old Standard TT" w:cs="Old Standard TT"/>
              </w:rPr>
              <w:t xml:space="preserve">and Education </w:t>
            </w:r>
            <w:r>
              <w:rPr>
                <w:rFonts w:ascii="Old Standard TT" w:eastAsia="Old Standard TT" w:hAnsi="Old Standard TT" w:cs="Old Standard TT"/>
              </w:rPr>
              <w:t>Access is a Social Justice issue- in “March” and primary sources</w:t>
            </w:r>
          </w:p>
        </w:tc>
      </w:tr>
      <w:tr w:rsidR="004965BF" w14:paraId="2454DDEC"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0316C95E" w14:textId="77777777" w:rsidR="004965BF" w:rsidRDefault="00062F91">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Overview:</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1C37D0E0" w14:textId="77777777" w:rsidR="004965BF" w:rsidRDefault="00D55C25" w:rsidP="00D55C25">
            <w:pPr>
              <w:rPr>
                <w:rFonts w:ascii="Old Standard TT" w:eastAsia="Old Standard TT" w:hAnsi="Old Standard TT" w:cs="Old Standard TT"/>
              </w:rPr>
            </w:pPr>
            <w:r>
              <w:rPr>
                <w:rFonts w:ascii="Old Standard TT" w:eastAsia="Old Standard TT" w:hAnsi="Old Standard TT" w:cs="Old Standard TT"/>
              </w:rPr>
              <w:t>Students will link selected passages from “March” to primary source documents that demonstrate the value of education and information access.</w:t>
            </w:r>
          </w:p>
        </w:tc>
      </w:tr>
      <w:tr w:rsidR="004965BF" w14:paraId="475098D3"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66D26838"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Learning Objective:</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30F5231B" w14:textId="77777777" w:rsidR="004965BF" w:rsidRDefault="00D55C25">
            <w:pPr>
              <w:rPr>
                <w:rFonts w:ascii="Old Standard TT" w:eastAsia="Old Standard TT" w:hAnsi="Old Standard TT" w:cs="Old Standard TT"/>
              </w:rPr>
            </w:pPr>
            <w:r>
              <w:rPr>
                <w:rFonts w:ascii="Old Standard TT" w:eastAsia="Old Standard TT" w:hAnsi="Old Standard TT" w:cs="Old Standard TT"/>
              </w:rPr>
              <w:t>Students will be able to offer concrete examples both from “March” and from primary sources on the fallacy of “Separate but Equal”</w:t>
            </w:r>
          </w:p>
        </w:tc>
      </w:tr>
      <w:tr w:rsidR="004965BF" w14:paraId="71C000A6"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7A03C492"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 xml:space="preserve">Standards: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7D9900C8" w14:textId="77777777" w:rsidR="004965BF" w:rsidRDefault="00D55C25">
            <w:pPr>
              <w:rPr>
                <w:rFonts w:ascii="Old Standard TT" w:eastAsia="Old Standard TT" w:hAnsi="Old Standard TT" w:cs="Old Standard TT"/>
              </w:rPr>
            </w:pPr>
            <w:r>
              <w:t>USHC.5.CC Evaluate continuities and changes during the Civil Rights Movement and other subsequent movements for equal rights. This indicator was developed to encourage inquiry into thematic continuities and changes into how marginalized groups sought and won legal rights. Inquiry into the leadership, methods, and outcomes of modern equal rights movements are supported by this indicator.</w:t>
            </w:r>
          </w:p>
        </w:tc>
      </w:tr>
      <w:tr w:rsidR="004965BF" w14:paraId="3BF6D6D2"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6DE5D437" w14:textId="77777777" w:rsidR="004965BF" w:rsidRDefault="00062F91">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Essential Question:</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250B422F" w14:textId="77777777" w:rsidR="004965BF" w:rsidRDefault="000A3EF5" w:rsidP="000A3EF5">
            <w:pPr>
              <w:rPr>
                <w:rFonts w:ascii="Old Standard TT" w:eastAsia="Old Standard TT" w:hAnsi="Old Standard TT" w:cs="Old Standard TT"/>
              </w:rPr>
            </w:pPr>
            <w:r>
              <w:rPr>
                <w:rFonts w:ascii="Old Standard TT" w:eastAsia="Old Standard TT" w:hAnsi="Old Standard TT" w:cs="Old Standard TT"/>
              </w:rPr>
              <w:t>How is access to education and information</w:t>
            </w:r>
            <w:r w:rsidR="00062F91">
              <w:rPr>
                <w:rFonts w:ascii="Old Standard TT" w:eastAsia="Old Standard TT" w:hAnsi="Old Standard TT" w:cs="Old Standard TT"/>
              </w:rPr>
              <w:t xml:space="preserve"> </w:t>
            </w:r>
            <w:r>
              <w:rPr>
                <w:rFonts w:ascii="Old Standard TT" w:eastAsia="Old Standard TT" w:hAnsi="Old Standard TT" w:cs="Old Standard TT"/>
              </w:rPr>
              <w:t>a civil rights issue?</w:t>
            </w:r>
          </w:p>
        </w:tc>
      </w:tr>
      <w:tr w:rsidR="004965BF" w14:paraId="2ED29046"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079C16A7"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 xml:space="preserve">Supporting Question(s):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0A1DA86A" w14:textId="77777777" w:rsidR="004965BF" w:rsidRDefault="000A3EF5" w:rsidP="009A32AD">
            <w:pPr>
              <w:rPr>
                <w:rFonts w:ascii="Old Standard TT" w:eastAsia="Old Standard TT" w:hAnsi="Old Standard TT" w:cs="Old Standard TT"/>
              </w:rPr>
            </w:pPr>
            <w:r>
              <w:rPr>
                <w:rFonts w:ascii="Old Standard TT" w:eastAsia="Old Standard TT" w:hAnsi="Old Standard TT" w:cs="Old Standard TT"/>
              </w:rPr>
              <w:t xml:space="preserve">What message does “March” offer about education? </w:t>
            </w:r>
            <w:r w:rsidR="004E62B7">
              <w:rPr>
                <w:rFonts w:ascii="Old Standard TT" w:eastAsia="Old Standard TT" w:hAnsi="Old Standard TT" w:cs="Old Standard TT"/>
              </w:rPr>
              <w:t xml:space="preserve">Which Supreme Court cases address the idea of “Separate but Equal”? </w:t>
            </w:r>
            <w:r w:rsidR="009A32AD">
              <w:rPr>
                <w:rFonts w:ascii="Old Standard TT" w:eastAsia="Old Standard TT" w:hAnsi="Old Standard TT" w:cs="Old Standard TT"/>
              </w:rPr>
              <w:t xml:space="preserve">How can libraries support equality and civil rights? </w:t>
            </w:r>
            <w:r w:rsidR="00062F91">
              <w:rPr>
                <w:rFonts w:ascii="Old Standard TT" w:eastAsia="Old Standard TT" w:hAnsi="Old Standard TT" w:cs="Old Standard TT"/>
              </w:rPr>
              <w:t xml:space="preserve">What two or three questions support students answering the essential question? </w:t>
            </w:r>
          </w:p>
        </w:tc>
      </w:tr>
      <w:tr w:rsidR="004965BF" w14:paraId="516B6C6F"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5EF595E2" w14:textId="77777777" w:rsidR="004965BF" w:rsidRDefault="00062F91">
            <w:pPr>
              <w:pBdr>
                <w:top w:val="nil"/>
                <w:left w:val="nil"/>
                <w:bottom w:val="nil"/>
                <w:right w:val="nil"/>
                <w:between w:val="nil"/>
              </w:pBdr>
              <w:spacing w:before="2"/>
              <w:rPr>
                <w:rFonts w:ascii="Old Standard TT" w:eastAsia="Old Standard TT" w:hAnsi="Old Standard TT" w:cs="Old Standard TT"/>
                <w:b/>
                <w:color w:val="000000"/>
              </w:rPr>
            </w:pPr>
            <w:r>
              <w:rPr>
                <w:rFonts w:ascii="Old Standard TT" w:eastAsia="Old Standard TT" w:hAnsi="Old Standard TT" w:cs="Old Standard TT"/>
                <w:b/>
                <w:color w:val="000000"/>
              </w:rPr>
              <w:t>Digital Primary and Secondary Sources:</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0E83F1BF" w14:textId="77777777" w:rsidR="009A32AD" w:rsidRDefault="009A32AD">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Primary:</w:t>
            </w:r>
          </w:p>
          <w:p w14:paraId="76DDDC6A" w14:textId="77777777" w:rsidR="008A264A" w:rsidRDefault="009A32AD">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Plessy vs. Ferguson</w:t>
            </w:r>
            <w:r w:rsidR="008A264A">
              <w:rPr>
                <w:rFonts w:ascii="Old Standard TT" w:eastAsia="Old Standard TT" w:hAnsi="Old Standard TT" w:cs="Old Standard TT"/>
                <w:color w:val="000000"/>
              </w:rPr>
              <w:t xml:space="preserve">: Cover sheet of judgement: </w:t>
            </w:r>
            <w:r w:rsidR="008A264A" w:rsidRPr="008A264A">
              <w:rPr>
                <w:rFonts w:ascii="Old Standard TT" w:eastAsia="Old Standard TT" w:hAnsi="Old Standard TT" w:cs="Old Standard TT"/>
                <w:color w:val="000000"/>
              </w:rPr>
              <w:t>https://catalog.archives.gov/id/1685178</w:t>
            </w:r>
            <w:r w:rsidR="00FF00BC">
              <w:rPr>
                <w:rFonts w:ascii="Old Standard TT" w:eastAsia="Old Standard TT" w:hAnsi="Old Standard TT" w:cs="Old Standard TT"/>
                <w:color w:val="000000"/>
              </w:rPr>
              <w:t xml:space="preserve"> </w:t>
            </w:r>
            <w:r w:rsidR="008A264A">
              <w:rPr>
                <w:rFonts w:ascii="Old Standard TT" w:eastAsia="Old Standard TT" w:hAnsi="Old Standard TT" w:cs="Old Standard TT"/>
                <w:color w:val="000000"/>
              </w:rPr>
              <w:t>and</w:t>
            </w:r>
          </w:p>
          <w:p w14:paraId="385DB8E8" w14:textId="77777777" w:rsidR="009A32AD" w:rsidRDefault="008A264A">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Case transcript</w:t>
            </w:r>
            <w:r w:rsidR="00FF00BC">
              <w:rPr>
                <w:rFonts w:ascii="Old Standard TT" w:eastAsia="Old Standard TT" w:hAnsi="Old Standard TT" w:cs="Old Standard TT"/>
                <w:color w:val="000000"/>
              </w:rPr>
              <w:t>(</w:t>
            </w:r>
            <w:r w:rsidR="00267F07">
              <w:rPr>
                <w:rFonts w:ascii="Old Standard TT" w:eastAsia="Old Standard TT" w:hAnsi="Old Standard TT" w:cs="Old Standard TT"/>
                <w:color w:val="000000"/>
              </w:rPr>
              <w:t>Students should read pgs. 16-</w:t>
            </w:r>
            <w:r>
              <w:rPr>
                <w:rFonts w:ascii="Old Standard TT" w:eastAsia="Old Standard TT" w:hAnsi="Old Standard TT" w:cs="Old Standard TT"/>
                <w:color w:val="000000"/>
              </w:rPr>
              <w:t>20</w:t>
            </w:r>
            <w:r w:rsidR="00267F07">
              <w:rPr>
                <w:rFonts w:ascii="Old Standard TT" w:eastAsia="Old Standard TT" w:hAnsi="Old Standard TT" w:cs="Old Standard TT"/>
                <w:color w:val="000000"/>
              </w:rPr>
              <w:t xml:space="preserve"> highlighted sections, not the whole doc!</w:t>
            </w:r>
            <w:r w:rsidR="00FF00BC">
              <w:rPr>
                <w:rFonts w:ascii="Old Standard TT" w:eastAsia="Old Standard TT" w:hAnsi="Old Standard TT" w:cs="Old Standard TT"/>
                <w:color w:val="000000"/>
              </w:rPr>
              <w:t>)</w:t>
            </w:r>
            <w:r w:rsidR="00557667">
              <w:t xml:space="preserve"> </w:t>
            </w:r>
            <w:r w:rsidR="00557667" w:rsidRPr="00557667">
              <w:rPr>
                <w:rFonts w:ascii="Old Standard TT" w:eastAsia="Old Standard TT" w:hAnsi="Old Standard TT" w:cs="Old Standard TT"/>
                <w:color w:val="000000"/>
              </w:rPr>
              <w:t>https://tile.loc.gov/storage-services/service/ll/usrep/usrep163/usrep163537/usrep163537.pdf</w:t>
            </w:r>
          </w:p>
          <w:p w14:paraId="7E8B736B" w14:textId="77777777" w:rsidR="009A32AD" w:rsidRDefault="009A32AD">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Brown vs. The Board of Education</w:t>
            </w:r>
            <w:r w:rsidR="006A346E">
              <w:rPr>
                <w:rFonts w:ascii="Old Standard TT" w:eastAsia="Old Standard TT" w:hAnsi="Old Standard TT" w:cs="Old Standard TT"/>
                <w:color w:val="000000"/>
              </w:rPr>
              <w:t>: Intention to review form</w:t>
            </w:r>
          </w:p>
          <w:p w14:paraId="46D7D997" w14:textId="77777777" w:rsidR="006A346E" w:rsidRDefault="00F572D6">
            <w:pPr>
              <w:pBdr>
                <w:top w:val="nil"/>
                <w:left w:val="nil"/>
                <w:bottom w:val="nil"/>
                <w:right w:val="nil"/>
                <w:between w:val="nil"/>
              </w:pBdr>
              <w:spacing w:line="264" w:lineRule="auto"/>
              <w:rPr>
                <w:rFonts w:ascii="Old Standard TT" w:eastAsia="Old Standard TT" w:hAnsi="Old Standard TT" w:cs="Old Standard TT"/>
                <w:color w:val="000000"/>
              </w:rPr>
            </w:pPr>
            <w:hyperlink r:id="rId7" w:history="1">
              <w:r w:rsidR="006A346E" w:rsidRPr="00D4384F">
                <w:rPr>
                  <w:rStyle w:val="Hyperlink"/>
                  <w:rFonts w:ascii="Old Standard TT" w:eastAsia="Old Standard TT" w:hAnsi="Old Standard TT" w:cs="Old Standard TT"/>
                </w:rPr>
                <w:t>https://tile.loc.gov/storage-services/service/ll/usrep/usrep344/usrep344141/usrep344141.pdf</w:t>
              </w:r>
            </w:hyperlink>
            <w:r w:rsidR="006A346E">
              <w:rPr>
                <w:rFonts w:ascii="Old Standard TT" w:eastAsia="Old Standard TT" w:hAnsi="Old Standard TT" w:cs="Old Standard TT"/>
                <w:color w:val="000000"/>
              </w:rPr>
              <w:t xml:space="preserve"> and</w:t>
            </w:r>
          </w:p>
          <w:p w14:paraId="61C34A4C" w14:textId="77777777" w:rsidR="006A346E" w:rsidRDefault="006A346E">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Case transcript (Students should review pgs. 5-</w:t>
            </w:r>
            <w:r w:rsidR="00B640C2">
              <w:rPr>
                <w:rFonts w:ascii="Old Standard TT" w:eastAsia="Old Standard TT" w:hAnsi="Old Standard TT" w:cs="Old Standard TT"/>
                <w:color w:val="000000"/>
              </w:rPr>
              <w:t>8</w:t>
            </w:r>
            <w:r>
              <w:rPr>
                <w:rFonts w:ascii="Old Standard TT" w:eastAsia="Old Standard TT" w:hAnsi="Old Standard TT" w:cs="Old Standard TT"/>
                <w:color w:val="000000"/>
              </w:rPr>
              <w:t xml:space="preserve">, not the whole doc!) </w:t>
            </w:r>
            <w:hyperlink r:id="rId8" w:history="1">
              <w:r w:rsidRPr="00D4384F">
                <w:rPr>
                  <w:rStyle w:val="Hyperlink"/>
                  <w:rFonts w:ascii="Old Standard TT" w:eastAsia="Old Standard TT" w:hAnsi="Old Standard TT" w:cs="Old Standard TT"/>
                </w:rPr>
                <w:t>https://tile.loc.gov/storage-services/service/ll/usrep/usrep347/usrep347483/usrep347483.pdf</w:t>
              </w:r>
            </w:hyperlink>
          </w:p>
          <w:p w14:paraId="1C063AA6" w14:textId="77777777" w:rsidR="00B775F4" w:rsidRDefault="00B775F4">
            <w:pPr>
              <w:pBdr>
                <w:top w:val="nil"/>
                <w:left w:val="nil"/>
                <w:bottom w:val="nil"/>
                <w:right w:val="nil"/>
                <w:between w:val="nil"/>
              </w:pBdr>
              <w:spacing w:line="264" w:lineRule="auto"/>
              <w:rPr>
                <w:rFonts w:ascii="Arial" w:hAnsi="Arial" w:cs="Arial"/>
                <w:color w:val="242424"/>
                <w:sz w:val="21"/>
                <w:szCs w:val="21"/>
                <w:shd w:val="clear" w:color="auto" w:fill="F6F6F6"/>
              </w:rPr>
            </w:pPr>
            <w:r>
              <w:rPr>
                <w:rFonts w:ascii="Old Standard TT" w:eastAsia="Old Standard TT" w:hAnsi="Old Standard TT" w:cs="Old Standard TT"/>
                <w:color w:val="000000"/>
              </w:rPr>
              <w:t xml:space="preserve">Two classrooms: </w:t>
            </w:r>
            <w:r>
              <w:rPr>
                <w:rFonts w:ascii="Arial" w:hAnsi="Arial" w:cs="Arial"/>
                <w:color w:val="242424"/>
                <w:sz w:val="21"/>
                <w:szCs w:val="21"/>
                <w:shd w:val="clear" w:color="auto" w:fill="F6F6F6"/>
              </w:rPr>
              <w:t>https://www.loc.gov/item/2010636993/</w:t>
            </w:r>
            <w:r w:rsidR="00892A18">
              <w:rPr>
                <w:rFonts w:ascii="Arial" w:hAnsi="Arial" w:cs="Arial"/>
                <w:color w:val="242424"/>
                <w:sz w:val="21"/>
                <w:szCs w:val="21"/>
                <w:shd w:val="clear" w:color="auto" w:fill="F6F6F6"/>
              </w:rPr>
              <w:t xml:space="preserve"> and </w:t>
            </w:r>
          </w:p>
          <w:p w14:paraId="3604C181" w14:textId="77777777" w:rsidR="00892A18" w:rsidRDefault="00F572D6">
            <w:pPr>
              <w:pBdr>
                <w:top w:val="nil"/>
                <w:left w:val="nil"/>
                <w:bottom w:val="nil"/>
                <w:right w:val="nil"/>
                <w:between w:val="nil"/>
              </w:pBdr>
              <w:spacing w:line="264" w:lineRule="auto"/>
            </w:pPr>
            <w:hyperlink r:id="rId9" w:tgtFrame="_blank" w:history="1">
              <w:r w:rsidR="00892A18">
                <w:rPr>
                  <w:rStyle w:val="Hyperlink"/>
                  <w:rFonts w:ascii="Arial" w:hAnsi="Arial" w:cs="Arial"/>
                  <w:color w:val="0076AD"/>
                  <w:sz w:val="21"/>
                  <w:szCs w:val="21"/>
                  <w:shd w:val="clear" w:color="auto" w:fill="FFFFFF"/>
                </w:rPr>
                <w:t>https://lccn.loc.gov/2010636992</w:t>
              </w:r>
            </w:hyperlink>
            <w:r w:rsidR="00892A18">
              <w:t xml:space="preserve"> </w:t>
            </w:r>
          </w:p>
          <w:p w14:paraId="6F804B7A" w14:textId="77777777" w:rsidR="00A458BB" w:rsidRDefault="00A458BB">
            <w:pPr>
              <w:pBdr>
                <w:top w:val="nil"/>
                <w:left w:val="nil"/>
                <w:bottom w:val="nil"/>
                <w:right w:val="nil"/>
                <w:between w:val="nil"/>
              </w:pBdr>
              <w:spacing w:line="264" w:lineRule="auto"/>
              <w:rPr>
                <w:rFonts w:ascii="Old Standard TT" w:eastAsia="Old Standard TT" w:hAnsi="Old Standard TT" w:cs="Old Standard TT"/>
                <w:color w:val="000000"/>
              </w:rPr>
            </w:pPr>
            <w:r>
              <w:t>Secondary:</w:t>
            </w:r>
          </w:p>
          <w:p w14:paraId="27DC6A74" w14:textId="77777777" w:rsidR="00C7095D" w:rsidRDefault="009A32AD">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lastRenderedPageBreak/>
              <w:t>March</w:t>
            </w:r>
            <w:r w:rsidR="008A264A">
              <w:rPr>
                <w:rFonts w:ascii="Old Standard TT" w:eastAsia="Old Standard TT" w:hAnsi="Old Standard TT" w:cs="Old Standard TT"/>
                <w:color w:val="000000"/>
              </w:rPr>
              <w:t>, pp. 46-53</w:t>
            </w:r>
          </w:p>
          <w:p w14:paraId="4DECA39B" w14:textId="77777777" w:rsidR="00A458BB" w:rsidRDefault="00A458BB">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Blog article:</w:t>
            </w:r>
            <w:r>
              <w:t xml:space="preserve"> </w:t>
            </w:r>
            <w:r w:rsidRPr="00A458BB">
              <w:rPr>
                <w:rFonts w:ascii="Old Standard TT" w:eastAsia="Old Standard TT" w:hAnsi="Old Standard TT" w:cs="Old Standard TT"/>
                <w:color w:val="000000"/>
              </w:rPr>
              <w:t>https://blogs.loc.gov/law/2014/05/before-brown-v-board-of-education-there-was-mendez-v-westminster/</w:t>
            </w:r>
          </w:p>
          <w:p w14:paraId="0A4D4562" w14:textId="77777777" w:rsidR="004965BF" w:rsidRDefault="004965BF" w:rsidP="00173354">
            <w:pPr>
              <w:pBdr>
                <w:top w:val="nil"/>
                <w:left w:val="nil"/>
                <w:bottom w:val="nil"/>
                <w:right w:val="nil"/>
                <w:between w:val="nil"/>
              </w:pBdr>
              <w:spacing w:line="264" w:lineRule="auto"/>
              <w:rPr>
                <w:rFonts w:ascii="Old Standard TT" w:eastAsia="Old Standard TT" w:hAnsi="Old Standard TT" w:cs="Old Standard TT"/>
                <w:color w:val="000000"/>
              </w:rPr>
            </w:pPr>
          </w:p>
        </w:tc>
      </w:tr>
      <w:tr w:rsidR="004965BF" w14:paraId="47EE7310"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212BC222" w14:textId="77777777" w:rsidR="004965BF" w:rsidRDefault="00062F91">
            <w:pPr>
              <w:pBdr>
                <w:top w:val="nil"/>
                <w:left w:val="nil"/>
                <w:bottom w:val="nil"/>
                <w:right w:val="nil"/>
                <w:between w:val="nil"/>
              </w:pBdr>
              <w:spacing w:before="79"/>
              <w:ind w:right="656"/>
              <w:rPr>
                <w:rFonts w:ascii="Old Standard TT" w:eastAsia="Old Standard TT" w:hAnsi="Old Standard TT" w:cs="Old Standard TT"/>
                <w:b/>
                <w:color w:val="000000"/>
              </w:rPr>
            </w:pPr>
            <w:r>
              <w:rPr>
                <w:rFonts w:ascii="Old Standard TT" w:eastAsia="Old Standard TT" w:hAnsi="Old Standard TT" w:cs="Old Standard TT"/>
                <w:b/>
                <w:color w:val="000000"/>
              </w:rPr>
              <w:lastRenderedPageBreak/>
              <w:t xml:space="preserve">Required Classroom Materials: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26C343BB" w14:textId="77777777" w:rsidR="00173354" w:rsidRDefault="00173354">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The teacher will need a laptop and projector, group assignments posted either digitally or on the whiteboard. The teacher will have stations set up around the room. Each station will have a “dossier”(a manila folder with the source documents printed out) and a big number above the station that matches their document</w:t>
            </w:r>
            <w:r w:rsidR="00A67FBF">
              <w:rPr>
                <w:rFonts w:ascii="Old Standard TT" w:eastAsia="Old Standard TT" w:hAnsi="Old Standard TT" w:cs="Old Standard TT"/>
                <w:color w:val="000000"/>
              </w:rPr>
              <w:t xml:space="preserve"> and a slot on the graphic organizer.  The teacher will use a timer on the smartboard to keep track of time at stations. </w:t>
            </w:r>
          </w:p>
          <w:p w14:paraId="2C0A2B4F" w14:textId="77777777" w:rsidR="004965BF" w:rsidRDefault="000A3EF5" w:rsidP="00173354">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 xml:space="preserve">Students will need laptops, their digital graphic organizer, </w:t>
            </w:r>
            <w:r w:rsidR="00A67FBF">
              <w:rPr>
                <w:rFonts w:ascii="Old Standard TT" w:eastAsia="Old Standard TT" w:hAnsi="Old Standard TT" w:cs="Old Standard TT"/>
                <w:color w:val="000000"/>
              </w:rPr>
              <w:t xml:space="preserve">and </w:t>
            </w:r>
            <w:r w:rsidR="009A32AD">
              <w:rPr>
                <w:rFonts w:ascii="Old Standard TT" w:eastAsia="Old Standard TT" w:hAnsi="Old Standard TT" w:cs="Old Standard TT"/>
                <w:color w:val="000000"/>
              </w:rPr>
              <w:t>access to source documents</w:t>
            </w:r>
            <w:r w:rsidR="00173354">
              <w:rPr>
                <w:rFonts w:ascii="Old Standard TT" w:eastAsia="Old Standard TT" w:hAnsi="Old Standard TT" w:cs="Old Standard TT"/>
                <w:color w:val="000000"/>
              </w:rPr>
              <w:t xml:space="preserve"> through hyperlinks. The graphic organizer will have numbered sections that correspond to the docs/learning stations.  The numbered sections have questions or prompts that may be answered with the documents. </w:t>
            </w:r>
            <w:r w:rsidR="00062F91">
              <w:rPr>
                <w:rFonts w:ascii="Old Standard TT" w:eastAsia="Old Standard TT" w:hAnsi="Old Standard TT" w:cs="Old Standard TT"/>
                <w:color w:val="000000"/>
              </w:rPr>
              <w:t xml:space="preserve"> </w:t>
            </w:r>
          </w:p>
          <w:p w14:paraId="1D2C4F64" w14:textId="77777777" w:rsidR="00682FA5" w:rsidRDefault="00682FA5" w:rsidP="00173354">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Link to graphic organizer:</w:t>
            </w:r>
            <w:r>
              <w:t xml:space="preserve"> </w:t>
            </w:r>
            <w:hyperlink r:id="rId10" w:history="1">
              <w:r>
                <w:rPr>
                  <w:rStyle w:val="Hyperlink"/>
                </w:rPr>
                <w:t>Source Documents and Civil Rights.pdf</w:t>
              </w:r>
            </w:hyperlink>
          </w:p>
        </w:tc>
      </w:tr>
      <w:tr w:rsidR="004965BF" w14:paraId="5E80159F"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21C10E72" w14:textId="77777777" w:rsidR="004965BF" w:rsidRDefault="00062F91">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Classroom Environment:</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0653F8E5" w14:textId="77777777" w:rsidR="004965BF" w:rsidRDefault="00A458BB" w:rsidP="00A67FBF">
            <w:p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 xml:space="preserve">5 stations will be set up around the outside of the room.  Each station will have hard copies of the documents/photos/texts available.  </w:t>
            </w:r>
            <w:r w:rsidR="00A67FBF">
              <w:rPr>
                <w:rFonts w:ascii="Old Standard TT" w:eastAsia="Old Standard TT" w:hAnsi="Old Standard TT" w:cs="Old Standard TT"/>
                <w:color w:val="000000"/>
              </w:rPr>
              <w:t xml:space="preserve">Students will begin the lesson in their assigned seats for the introduction and instructions. Once instructions are given and groups assigned, students will move with their group to their assigned stations.  Groups will have 10 minutes at each station and will move clockwise around the room.  </w:t>
            </w:r>
          </w:p>
        </w:tc>
      </w:tr>
      <w:tr w:rsidR="004965BF" w14:paraId="33FEEFF5"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72CA69F2" w14:textId="77777777" w:rsidR="004965BF" w:rsidRDefault="00062F91">
            <w:pPr>
              <w:spacing w:before="8"/>
              <w:rPr>
                <w:rFonts w:ascii="Old Standard TT" w:eastAsia="Old Standard TT" w:hAnsi="Old Standard TT" w:cs="Old Standard TT"/>
                <w:b/>
                <w:color w:val="000000"/>
              </w:rPr>
            </w:pPr>
            <w:r>
              <w:rPr>
                <w:rFonts w:ascii="Old Standard TT" w:eastAsia="Old Standard TT" w:hAnsi="Old Standard TT" w:cs="Old Standard TT"/>
                <w:b/>
              </w:rPr>
              <w:t>Differentiation and Adaptations:</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5A4F6C69" w14:textId="77777777" w:rsidR="004965BF" w:rsidRDefault="00062F91">
            <w:pPr>
              <w:spacing w:before="8"/>
              <w:rPr>
                <w:rFonts w:ascii="Old Standard TT" w:eastAsia="Old Standard TT" w:hAnsi="Old Standard TT" w:cs="Old Standard TT"/>
                <w:color w:val="000000"/>
              </w:rPr>
            </w:pPr>
            <w:r>
              <w:rPr>
                <w:rFonts w:ascii="Old Standard TT" w:eastAsia="Old Standard TT" w:hAnsi="Old Standard TT" w:cs="Old Standard TT"/>
              </w:rPr>
              <w:t>In what ways will you differentiate for learners within the classroom? This is not how your lesson meets the needs of diverse learners, but how you could modify your lesson for a range of diverse learners.</w:t>
            </w:r>
          </w:p>
        </w:tc>
      </w:tr>
    </w:tbl>
    <w:p w14:paraId="56484E7D" w14:textId="77777777" w:rsidR="004965BF" w:rsidRDefault="004965BF">
      <w:pPr>
        <w:spacing w:before="12" w:line="260" w:lineRule="auto"/>
        <w:rPr>
          <w:rFonts w:ascii="Old Standard TT" w:eastAsia="Old Standard TT" w:hAnsi="Old Standard TT" w:cs="Old Standard TT"/>
          <w:sz w:val="24"/>
          <w:szCs w:val="24"/>
        </w:rPr>
      </w:pPr>
    </w:p>
    <w:p w14:paraId="2EF7EC00" w14:textId="77777777" w:rsidR="004965BF" w:rsidRDefault="004965BF">
      <w:pPr>
        <w:spacing w:before="12" w:line="260" w:lineRule="auto"/>
        <w:rPr>
          <w:rFonts w:ascii="Old Standard TT" w:eastAsia="Old Standard TT" w:hAnsi="Old Standard TT" w:cs="Old Standard TT"/>
          <w:sz w:val="24"/>
          <w:szCs w:val="24"/>
        </w:rPr>
      </w:pPr>
    </w:p>
    <w:p w14:paraId="782586A0" w14:textId="77777777" w:rsidR="004965BF" w:rsidRDefault="004965BF">
      <w:pPr>
        <w:spacing w:before="12" w:line="260" w:lineRule="auto"/>
        <w:rPr>
          <w:rFonts w:ascii="Old Standard TT" w:eastAsia="Old Standard TT" w:hAnsi="Old Standard TT" w:cs="Old Standard TT"/>
          <w:sz w:val="24"/>
          <w:szCs w:val="24"/>
        </w:rPr>
      </w:pPr>
    </w:p>
    <w:p w14:paraId="52AAA508" w14:textId="77777777" w:rsidR="004965BF" w:rsidRDefault="004965BF">
      <w:pPr>
        <w:spacing w:before="12" w:line="260" w:lineRule="auto"/>
        <w:rPr>
          <w:rFonts w:ascii="Old Standard TT" w:eastAsia="Old Standard TT" w:hAnsi="Old Standard TT" w:cs="Old Standard TT"/>
          <w:sz w:val="24"/>
          <w:szCs w:val="24"/>
        </w:rPr>
      </w:pPr>
    </w:p>
    <w:p w14:paraId="7789F5F3" w14:textId="77777777" w:rsidR="004965BF" w:rsidRDefault="004965BF">
      <w:pPr>
        <w:spacing w:before="12" w:line="260" w:lineRule="auto"/>
        <w:rPr>
          <w:rFonts w:ascii="Old Standard TT" w:eastAsia="Old Standard TT" w:hAnsi="Old Standard TT" w:cs="Old Standard TT"/>
          <w:sz w:val="24"/>
          <w:szCs w:val="24"/>
        </w:rPr>
      </w:pPr>
    </w:p>
    <w:tbl>
      <w:tblPr>
        <w:tblStyle w:val="af"/>
        <w:tblW w:w="1015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7788"/>
      </w:tblGrid>
      <w:tr w:rsidR="004965BF" w14:paraId="5168C65C" w14:textId="77777777">
        <w:trPr>
          <w:trHeight w:val="300"/>
        </w:trPr>
        <w:tc>
          <w:tcPr>
            <w:tcW w:w="10158" w:type="dxa"/>
            <w:gridSpan w:val="2"/>
            <w:tcBorders>
              <w:top w:val="single" w:sz="6" w:space="0" w:color="000000"/>
              <w:left w:val="single" w:sz="6" w:space="0" w:color="000000"/>
              <w:bottom w:val="single" w:sz="6" w:space="0" w:color="000000"/>
              <w:right w:val="single" w:sz="6" w:space="0" w:color="000000"/>
            </w:tcBorders>
            <w:shd w:val="clear" w:color="auto" w:fill="A6A6A6"/>
          </w:tcPr>
          <w:p w14:paraId="02AD6783" w14:textId="77777777" w:rsidR="004965BF" w:rsidRDefault="00062F91">
            <w:pPr>
              <w:pBdr>
                <w:top w:val="nil"/>
                <w:left w:val="nil"/>
                <w:bottom w:val="nil"/>
                <w:right w:val="nil"/>
                <w:between w:val="nil"/>
              </w:pBdr>
              <w:spacing w:line="270" w:lineRule="auto"/>
              <w:ind w:right="1"/>
              <w:jc w:val="center"/>
              <w:rPr>
                <w:rFonts w:ascii="Old Standard TT" w:eastAsia="Old Standard TT" w:hAnsi="Old Standard TT" w:cs="Old Standard TT"/>
                <w:b/>
                <w:color w:val="000000"/>
                <w:sz w:val="30"/>
                <w:szCs w:val="30"/>
              </w:rPr>
            </w:pPr>
            <w:r>
              <w:rPr>
                <w:rFonts w:ascii="Old Standard TT" w:eastAsia="Old Standard TT" w:hAnsi="Old Standard TT" w:cs="Old Standard TT"/>
                <w:b/>
                <w:color w:val="000000"/>
                <w:sz w:val="30"/>
                <w:szCs w:val="30"/>
              </w:rPr>
              <w:t>Lesson Sequence/Procedures</w:t>
            </w:r>
          </w:p>
        </w:tc>
      </w:tr>
      <w:tr w:rsidR="004965BF" w14:paraId="6CA0FB66" w14:textId="77777777">
        <w:trPr>
          <w:trHeight w:val="1060"/>
        </w:trPr>
        <w:tc>
          <w:tcPr>
            <w:tcW w:w="2370" w:type="dxa"/>
            <w:tcBorders>
              <w:top w:val="single" w:sz="6" w:space="0" w:color="000000"/>
              <w:left w:val="single" w:sz="5" w:space="0" w:color="000000"/>
              <w:bottom w:val="single" w:sz="5" w:space="0" w:color="000000"/>
              <w:right w:val="single" w:sz="5" w:space="0" w:color="000000"/>
            </w:tcBorders>
          </w:tcPr>
          <w:p w14:paraId="3B8E92FD" w14:textId="77777777" w:rsidR="004965BF" w:rsidRDefault="00062F91">
            <w:pPr>
              <w:pBdr>
                <w:top w:val="nil"/>
                <w:left w:val="nil"/>
                <w:bottom w:val="nil"/>
                <w:right w:val="nil"/>
                <w:between w:val="nil"/>
              </w:pBdr>
              <w:ind w:left="1"/>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Estimated</w:t>
            </w:r>
          </w:p>
          <w:p w14:paraId="67A9BD0A" w14:textId="77777777" w:rsidR="004965BF" w:rsidRDefault="00062F91">
            <w:pPr>
              <w:pBdr>
                <w:top w:val="nil"/>
                <w:left w:val="nil"/>
                <w:bottom w:val="nil"/>
                <w:right w:val="nil"/>
                <w:between w:val="nil"/>
              </w:pBdr>
              <w:spacing w:before="3"/>
              <w:ind w:left="1"/>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 xml:space="preserve">Time Needed </w:t>
            </w:r>
          </w:p>
          <w:p w14:paraId="75C60D42" w14:textId="77777777" w:rsidR="004965BF" w:rsidRDefault="004965BF">
            <w:pPr>
              <w:pBdr>
                <w:top w:val="nil"/>
                <w:left w:val="nil"/>
                <w:bottom w:val="nil"/>
                <w:right w:val="nil"/>
                <w:between w:val="nil"/>
              </w:pBdr>
              <w:spacing w:before="3"/>
              <w:ind w:left="1"/>
              <w:jc w:val="center"/>
              <w:rPr>
                <w:rFonts w:ascii="Old Standard TT" w:eastAsia="Old Standard TT" w:hAnsi="Old Standard TT" w:cs="Old Standard TT"/>
                <w:b/>
                <w:color w:val="000000"/>
              </w:rPr>
            </w:pPr>
          </w:p>
        </w:tc>
        <w:tc>
          <w:tcPr>
            <w:tcW w:w="7788" w:type="dxa"/>
            <w:tcBorders>
              <w:top w:val="single" w:sz="6" w:space="0" w:color="000000"/>
              <w:left w:val="single" w:sz="5" w:space="0" w:color="000000"/>
              <w:bottom w:val="single" w:sz="5" w:space="0" w:color="000000"/>
              <w:right w:val="single" w:sz="5" w:space="0" w:color="000000"/>
            </w:tcBorders>
          </w:tcPr>
          <w:p w14:paraId="49F79B01" w14:textId="77777777" w:rsidR="004965BF" w:rsidRDefault="00062F91">
            <w:pPr>
              <w:pBdr>
                <w:top w:val="nil"/>
                <w:left w:val="nil"/>
                <w:bottom w:val="nil"/>
                <w:right w:val="nil"/>
                <w:between w:val="nil"/>
              </w:pBdr>
              <w:ind w:right="4"/>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Detailed Description of Teaching and Learning</w:t>
            </w:r>
          </w:p>
          <w:p w14:paraId="3B026349" w14:textId="77777777" w:rsidR="004965BF" w:rsidRDefault="004965BF">
            <w:pPr>
              <w:pBdr>
                <w:top w:val="nil"/>
                <w:left w:val="nil"/>
                <w:bottom w:val="nil"/>
                <w:right w:val="nil"/>
                <w:between w:val="nil"/>
              </w:pBdr>
              <w:spacing w:before="57"/>
              <w:ind w:hanging="1016"/>
              <w:rPr>
                <w:rFonts w:ascii="Old Standard TT" w:eastAsia="Old Standard TT" w:hAnsi="Old Standard TT" w:cs="Old Standard TT"/>
                <w:color w:val="000000"/>
              </w:rPr>
            </w:pPr>
          </w:p>
          <w:p w14:paraId="65A7ACE7" w14:textId="77777777" w:rsidR="004965BF" w:rsidRDefault="004965BF">
            <w:pPr>
              <w:pBdr>
                <w:top w:val="nil"/>
                <w:left w:val="nil"/>
                <w:bottom w:val="nil"/>
                <w:right w:val="nil"/>
                <w:between w:val="nil"/>
              </w:pBdr>
              <w:spacing w:before="2"/>
              <w:ind w:left="387" w:right="390"/>
              <w:jc w:val="center"/>
              <w:rPr>
                <w:rFonts w:ascii="Old Standard TT" w:eastAsia="Old Standard TT" w:hAnsi="Old Standard TT" w:cs="Old Standard TT"/>
                <w:color w:val="000000"/>
              </w:rPr>
            </w:pPr>
          </w:p>
        </w:tc>
      </w:tr>
      <w:tr w:rsidR="004965BF" w14:paraId="050F8326" w14:textId="77777777">
        <w:trPr>
          <w:trHeight w:val="320"/>
        </w:trPr>
        <w:tc>
          <w:tcPr>
            <w:tcW w:w="2370" w:type="dxa"/>
            <w:tcBorders>
              <w:top w:val="single" w:sz="5" w:space="0" w:color="000000"/>
              <w:left w:val="single" w:sz="5" w:space="0" w:color="000000"/>
              <w:bottom w:val="single" w:sz="5" w:space="0" w:color="000000"/>
              <w:right w:val="single" w:sz="5" w:space="0" w:color="000000"/>
            </w:tcBorders>
          </w:tcPr>
          <w:p w14:paraId="76D95DF4" w14:textId="77777777" w:rsidR="004965BF" w:rsidRDefault="00A67FBF">
            <w:pPr>
              <w:rPr>
                <w:rFonts w:ascii="Old Standard TT" w:eastAsia="Old Standard TT" w:hAnsi="Old Standard TT" w:cs="Old Standard TT"/>
              </w:rPr>
            </w:pPr>
            <w:r>
              <w:rPr>
                <w:rFonts w:ascii="Old Standard TT" w:eastAsia="Old Standard TT" w:hAnsi="Old Standard TT" w:cs="Old Standard TT"/>
              </w:rPr>
              <w:t>8 minute lecture on Education and Information access in the civil rights era</w:t>
            </w:r>
          </w:p>
        </w:tc>
        <w:tc>
          <w:tcPr>
            <w:tcW w:w="7788" w:type="dxa"/>
            <w:tcBorders>
              <w:top w:val="single" w:sz="5" w:space="0" w:color="000000"/>
              <w:left w:val="single" w:sz="5" w:space="0" w:color="000000"/>
              <w:bottom w:val="single" w:sz="5" w:space="0" w:color="000000"/>
              <w:right w:val="single" w:sz="5" w:space="0" w:color="000000"/>
            </w:tcBorders>
          </w:tcPr>
          <w:p w14:paraId="0BF65B0C" w14:textId="77777777" w:rsidR="004965BF" w:rsidRDefault="00062F91" w:rsidP="00A67FBF">
            <w:pPr>
              <w:rPr>
                <w:rFonts w:ascii="Old Standard TT" w:eastAsia="Old Standard TT" w:hAnsi="Old Standard TT" w:cs="Old Standard TT"/>
              </w:rPr>
            </w:pPr>
            <w:r>
              <w:rPr>
                <w:rFonts w:ascii="Old Standard TT" w:eastAsia="Old Standard TT" w:hAnsi="Old Standard TT" w:cs="Old Standard TT"/>
              </w:rPr>
              <w:t xml:space="preserve"> </w:t>
            </w:r>
            <w:r w:rsidR="00A67FBF">
              <w:rPr>
                <w:rFonts w:ascii="Old Standard TT" w:eastAsia="Old Standard TT" w:hAnsi="Old Standard TT" w:cs="Old Standard TT"/>
              </w:rPr>
              <w:t xml:space="preserve">The teacher will introduce the concept of equity in education and library access and our essential question.  The teacher will share the anecdote about local hero Robert McNair, who was not allowed to check out books from the public library in 1959. </w:t>
            </w:r>
          </w:p>
        </w:tc>
      </w:tr>
      <w:tr w:rsidR="004965BF" w14:paraId="56F35626"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3F270D97" w14:textId="77777777" w:rsidR="004965BF" w:rsidRDefault="00A67FBF">
            <w:pPr>
              <w:rPr>
                <w:rFonts w:ascii="Old Standard TT" w:eastAsia="Old Standard TT" w:hAnsi="Old Standard TT" w:cs="Old Standard TT"/>
              </w:rPr>
            </w:pPr>
            <w:r>
              <w:rPr>
                <w:rFonts w:ascii="Old Standard TT" w:eastAsia="Old Standard TT" w:hAnsi="Old Standard TT" w:cs="Old Standard TT"/>
              </w:rPr>
              <w:t>3 minutes instruction on class station procedure</w:t>
            </w:r>
          </w:p>
        </w:tc>
        <w:tc>
          <w:tcPr>
            <w:tcW w:w="7788" w:type="dxa"/>
            <w:tcBorders>
              <w:top w:val="single" w:sz="5" w:space="0" w:color="000000"/>
              <w:left w:val="single" w:sz="5" w:space="0" w:color="000000"/>
              <w:bottom w:val="single" w:sz="5" w:space="0" w:color="000000"/>
              <w:right w:val="single" w:sz="5" w:space="0" w:color="000000"/>
            </w:tcBorders>
          </w:tcPr>
          <w:p w14:paraId="584129F4" w14:textId="77777777" w:rsidR="004965BF" w:rsidRDefault="00A67FBF">
            <w:pPr>
              <w:rPr>
                <w:rFonts w:ascii="Old Standard TT" w:eastAsia="Old Standard TT" w:hAnsi="Old Standard TT" w:cs="Old Standard TT"/>
              </w:rPr>
            </w:pPr>
            <w:r>
              <w:rPr>
                <w:rFonts w:ascii="Old Standard TT" w:eastAsia="Old Standard TT" w:hAnsi="Old Standard TT" w:cs="Old Standard TT"/>
              </w:rPr>
              <w:t xml:space="preserve">Teacher will show students where to find the graphic organizer, point out stations, </w:t>
            </w:r>
            <w:r w:rsidR="004747C1">
              <w:rPr>
                <w:rFonts w:ascii="Old Standard TT" w:eastAsia="Old Standard TT" w:hAnsi="Old Standard TT" w:cs="Old Standard TT"/>
              </w:rPr>
              <w:t xml:space="preserve">and </w:t>
            </w:r>
            <w:r>
              <w:rPr>
                <w:rFonts w:ascii="Old Standard TT" w:eastAsia="Old Standard TT" w:hAnsi="Old Standard TT" w:cs="Old Standard TT"/>
              </w:rPr>
              <w:t>assign groups.</w:t>
            </w:r>
          </w:p>
        </w:tc>
      </w:tr>
      <w:tr w:rsidR="004965BF" w14:paraId="0AEEC30D"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503CC7D8" w14:textId="77777777" w:rsidR="004965BF" w:rsidRDefault="00A67FBF">
            <w:pPr>
              <w:rPr>
                <w:rFonts w:ascii="Old Standard TT" w:eastAsia="Old Standard TT" w:hAnsi="Old Standard TT" w:cs="Old Standard TT"/>
              </w:rPr>
            </w:pPr>
            <w:r>
              <w:rPr>
                <w:rFonts w:ascii="Old Standard TT" w:eastAsia="Old Standard TT" w:hAnsi="Old Standard TT" w:cs="Old Standard TT"/>
              </w:rPr>
              <w:lastRenderedPageBreak/>
              <w:t>50 minutes with students moving from station to station</w:t>
            </w:r>
          </w:p>
        </w:tc>
        <w:tc>
          <w:tcPr>
            <w:tcW w:w="7788" w:type="dxa"/>
            <w:tcBorders>
              <w:top w:val="single" w:sz="5" w:space="0" w:color="000000"/>
              <w:left w:val="single" w:sz="5" w:space="0" w:color="000000"/>
              <w:bottom w:val="single" w:sz="5" w:space="0" w:color="000000"/>
              <w:right w:val="single" w:sz="5" w:space="0" w:color="000000"/>
            </w:tcBorders>
          </w:tcPr>
          <w:p w14:paraId="46CB93B8" w14:textId="77777777" w:rsidR="004965BF" w:rsidRDefault="00A67FBF">
            <w:pPr>
              <w:rPr>
                <w:rFonts w:ascii="Old Standard TT" w:eastAsia="Old Standard TT" w:hAnsi="Old Standard TT" w:cs="Old Standard TT"/>
              </w:rPr>
            </w:pPr>
            <w:r>
              <w:rPr>
                <w:rFonts w:ascii="Old Standard TT" w:eastAsia="Old Standard TT" w:hAnsi="Old Standard TT" w:cs="Old Standard TT"/>
              </w:rPr>
              <w:t xml:space="preserve">Students will have 10 minutes at each station to review source documents, answer questions or provide textual support for their arguments </w:t>
            </w:r>
            <w:r w:rsidR="00CC1418">
              <w:rPr>
                <w:rFonts w:ascii="Old Standard TT" w:eastAsia="Old Standard TT" w:hAnsi="Old Standard TT" w:cs="Old Standard TT"/>
              </w:rPr>
              <w:t xml:space="preserve">and document what they found on their graphic organizer. </w:t>
            </w:r>
          </w:p>
        </w:tc>
      </w:tr>
      <w:tr w:rsidR="004965BF" w14:paraId="73478900"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04BD8EF6" w14:textId="77777777" w:rsidR="004965BF" w:rsidRDefault="00933A83">
            <w:pPr>
              <w:rPr>
                <w:rFonts w:ascii="Old Standard TT" w:eastAsia="Old Standard TT" w:hAnsi="Old Standard TT" w:cs="Old Standard TT"/>
              </w:rPr>
            </w:pPr>
            <w:r>
              <w:rPr>
                <w:rFonts w:ascii="Old Standard TT" w:eastAsia="Old Standard TT" w:hAnsi="Old Standard TT" w:cs="Old Standard TT"/>
              </w:rPr>
              <w:t>25 minutes for group sharing</w:t>
            </w:r>
          </w:p>
        </w:tc>
        <w:tc>
          <w:tcPr>
            <w:tcW w:w="7788" w:type="dxa"/>
            <w:tcBorders>
              <w:top w:val="single" w:sz="5" w:space="0" w:color="000000"/>
              <w:left w:val="single" w:sz="5" w:space="0" w:color="000000"/>
              <w:bottom w:val="single" w:sz="5" w:space="0" w:color="000000"/>
              <w:right w:val="single" w:sz="5" w:space="0" w:color="000000"/>
            </w:tcBorders>
          </w:tcPr>
          <w:p w14:paraId="7722208C" w14:textId="77777777" w:rsidR="004965BF" w:rsidRDefault="00933A83">
            <w:pPr>
              <w:rPr>
                <w:rFonts w:ascii="Old Standard TT" w:eastAsia="Old Standard TT" w:hAnsi="Old Standard TT" w:cs="Old Standard TT"/>
              </w:rPr>
            </w:pPr>
            <w:r>
              <w:rPr>
                <w:rFonts w:ascii="Old Standard TT" w:eastAsia="Old Standard TT" w:hAnsi="Old Standard TT" w:cs="Old Standard TT"/>
              </w:rPr>
              <w:t xml:space="preserve">Each group will nominate a speaker to share their findings one section.  Each group will have ~5 minutes to share their findings, allowing for other groups to share and comment or fill in as needed.  </w:t>
            </w:r>
          </w:p>
        </w:tc>
      </w:tr>
    </w:tbl>
    <w:p w14:paraId="1A5FC5CE" w14:textId="77777777" w:rsidR="004965BF" w:rsidRDefault="004965BF">
      <w:pPr>
        <w:pBdr>
          <w:top w:val="nil"/>
          <w:left w:val="nil"/>
          <w:bottom w:val="nil"/>
          <w:right w:val="nil"/>
          <w:between w:val="nil"/>
        </w:pBdr>
        <w:spacing w:line="276" w:lineRule="auto"/>
        <w:rPr>
          <w:rFonts w:ascii="Old Standard TT" w:eastAsia="Old Standard TT" w:hAnsi="Old Standard TT" w:cs="Old Standard TT"/>
          <w:sz w:val="24"/>
          <w:szCs w:val="24"/>
        </w:rPr>
        <w:sectPr w:rsidR="004965BF">
          <w:pgSz w:w="12240" w:h="15840"/>
          <w:pgMar w:top="1080" w:right="1080" w:bottom="1080" w:left="1080" w:header="720" w:footer="720" w:gutter="0"/>
          <w:pgNumType w:start="1"/>
          <w:cols w:space="720"/>
        </w:sectPr>
      </w:pPr>
    </w:p>
    <w:p w14:paraId="67342C9A" w14:textId="77777777" w:rsidR="004965BF" w:rsidRDefault="004965BF">
      <w:pPr>
        <w:spacing w:before="18" w:line="260" w:lineRule="auto"/>
        <w:rPr>
          <w:rFonts w:ascii="Old Standard TT" w:eastAsia="Old Standard TT" w:hAnsi="Old Standard TT" w:cs="Old Standard TT"/>
          <w:sz w:val="24"/>
          <w:szCs w:val="24"/>
        </w:rPr>
      </w:pPr>
    </w:p>
    <w:tbl>
      <w:tblPr>
        <w:tblStyle w:val="af0"/>
        <w:tblW w:w="1015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9"/>
        <w:gridCol w:w="5079"/>
      </w:tblGrid>
      <w:tr w:rsidR="004965BF" w14:paraId="09AF454F" w14:textId="77777777">
        <w:trPr>
          <w:trHeight w:val="510"/>
        </w:trPr>
        <w:tc>
          <w:tcPr>
            <w:tcW w:w="5079" w:type="dxa"/>
            <w:tcBorders>
              <w:top w:val="single" w:sz="6" w:space="0" w:color="000000"/>
              <w:left w:val="single" w:sz="5" w:space="0" w:color="000000"/>
              <w:bottom w:val="single" w:sz="6" w:space="0" w:color="000000"/>
              <w:right w:val="single" w:sz="5" w:space="0" w:color="000000"/>
            </w:tcBorders>
          </w:tcPr>
          <w:p w14:paraId="579FF5B2" w14:textId="77777777" w:rsidR="004965BF" w:rsidRDefault="00062F91">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rPr>
              <w:t>Assessments:</w:t>
            </w:r>
          </w:p>
        </w:tc>
        <w:tc>
          <w:tcPr>
            <w:tcW w:w="5079" w:type="dxa"/>
            <w:tcBorders>
              <w:top w:val="single" w:sz="6" w:space="0" w:color="000000"/>
              <w:left w:val="single" w:sz="5" w:space="0" w:color="000000"/>
              <w:bottom w:val="single" w:sz="6" w:space="0" w:color="000000"/>
              <w:right w:val="single" w:sz="5" w:space="0" w:color="000000"/>
            </w:tcBorders>
          </w:tcPr>
          <w:p w14:paraId="2EA1A121" w14:textId="77777777" w:rsidR="004965BF" w:rsidRDefault="00933A83" w:rsidP="004747C1">
            <w:pPr>
              <w:pBdr>
                <w:top w:val="nil"/>
                <w:left w:val="nil"/>
                <w:bottom w:val="nil"/>
                <w:right w:val="nil"/>
                <w:between w:val="nil"/>
              </w:pBdr>
              <w:rPr>
                <w:rFonts w:ascii="Old Standard TT" w:eastAsia="Old Standard TT" w:hAnsi="Old Standard TT" w:cs="Old Standard TT"/>
                <w:color w:val="000000"/>
              </w:rPr>
            </w:pPr>
            <w:r>
              <w:rPr>
                <w:rFonts w:ascii="Old Standard TT" w:eastAsia="Old Standard TT" w:hAnsi="Old Standard TT" w:cs="Old Standard TT"/>
                <w:color w:val="000000"/>
              </w:rPr>
              <w:t xml:space="preserve"> Students will earn a simple participation credit for moving around the room and participating in class.  Formal evaluation will be based on the completed graphic organizer, which will be turned in at the end of class. The graphic organizer will help students answer the essential question, locate textual evidence to support an assertion, and demonstrate</w:t>
            </w:r>
            <w:r w:rsidR="004747C1">
              <w:rPr>
                <w:rFonts w:ascii="Old Standard TT" w:eastAsia="Old Standard TT" w:hAnsi="Old Standard TT" w:cs="Old Standard TT"/>
                <w:color w:val="000000"/>
              </w:rPr>
              <w:t xml:space="preserve"> understanding of required history concepts. Students will receive feedback on their graphic organizers. </w:t>
            </w:r>
          </w:p>
        </w:tc>
      </w:tr>
      <w:tr w:rsidR="004965BF" w14:paraId="176FC8AC" w14:textId="77777777">
        <w:trPr>
          <w:trHeight w:val="417"/>
        </w:trPr>
        <w:tc>
          <w:tcPr>
            <w:tcW w:w="5079" w:type="dxa"/>
            <w:tcBorders>
              <w:top w:val="single" w:sz="6" w:space="0" w:color="000000"/>
              <w:left w:val="single" w:sz="6" w:space="0" w:color="000000"/>
              <w:bottom w:val="single" w:sz="6" w:space="0" w:color="000000"/>
              <w:right w:val="single" w:sz="6" w:space="0" w:color="000000"/>
            </w:tcBorders>
          </w:tcPr>
          <w:p w14:paraId="2402A4C5" w14:textId="77777777" w:rsidR="004965BF" w:rsidRDefault="00062F91">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Learning Extensions:</w:t>
            </w:r>
            <w:r w:rsidR="00933A83">
              <w:rPr>
                <w:rFonts w:ascii="Old Standard TT" w:eastAsia="Old Standard TT" w:hAnsi="Old Standard TT" w:cs="Old Standard TT"/>
                <w:b/>
              </w:rPr>
              <w:t xml:space="preserve">  </w:t>
            </w:r>
          </w:p>
          <w:p w14:paraId="1477CE78" w14:textId="77777777" w:rsidR="00933A83" w:rsidRDefault="00933A83">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rPr>
              <w:t xml:space="preserve">Students will be asked to search for current event news stories that address equity in education/information access. </w:t>
            </w:r>
          </w:p>
        </w:tc>
        <w:tc>
          <w:tcPr>
            <w:tcW w:w="5079" w:type="dxa"/>
            <w:tcBorders>
              <w:top w:val="single" w:sz="6" w:space="0" w:color="000000"/>
              <w:left w:val="single" w:sz="6" w:space="0" w:color="000000"/>
              <w:bottom w:val="single" w:sz="6" w:space="0" w:color="000000"/>
              <w:right w:val="single" w:sz="6" w:space="0" w:color="000000"/>
            </w:tcBorders>
          </w:tcPr>
          <w:p w14:paraId="53388E36" w14:textId="77777777" w:rsidR="004965BF" w:rsidRDefault="00933A83">
            <w:pPr>
              <w:pBdr>
                <w:top w:val="nil"/>
                <w:left w:val="nil"/>
                <w:bottom w:val="nil"/>
                <w:right w:val="nil"/>
                <w:between w:val="nil"/>
              </w:pBdr>
              <w:rPr>
                <w:rFonts w:ascii="Old Standard TT" w:eastAsia="Old Standard TT" w:hAnsi="Old Standard TT" w:cs="Old Standard TT"/>
                <w:color w:val="000000"/>
              </w:rPr>
            </w:pPr>
            <w:r>
              <w:rPr>
                <w:rFonts w:ascii="Old Standard TT" w:eastAsia="Old Standard TT" w:hAnsi="Old Standard TT" w:cs="Old Standard TT"/>
                <w:color w:val="000000"/>
              </w:rPr>
              <w:t xml:space="preserve">Shared news stories will help students draw the connection between the today and the Civil Rights Era, demonstrating that many of the issues still exist. </w:t>
            </w:r>
          </w:p>
          <w:p w14:paraId="3BB4856F" w14:textId="77777777" w:rsidR="004965BF" w:rsidRDefault="004965BF">
            <w:pPr>
              <w:spacing w:before="1"/>
              <w:ind w:left="99"/>
              <w:rPr>
                <w:rFonts w:ascii="Old Standard TT" w:eastAsia="Old Standard TT" w:hAnsi="Old Standard TT" w:cs="Old Standard TT"/>
              </w:rPr>
            </w:pPr>
          </w:p>
        </w:tc>
      </w:tr>
    </w:tbl>
    <w:p w14:paraId="36721DB1" w14:textId="77777777" w:rsidR="004965BF" w:rsidRDefault="004965BF">
      <w:pPr>
        <w:rPr>
          <w:rFonts w:ascii="Old Standard TT" w:eastAsia="Old Standard TT" w:hAnsi="Old Standard TT" w:cs="Old Standard TT"/>
          <w:sz w:val="24"/>
          <w:szCs w:val="24"/>
        </w:rPr>
      </w:pPr>
    </w:p>
    <w:sectPr w:rsidR="004965BF">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Standard TT">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BF"/>
    <w:rsid w:val="00062F91"/>
    <w:rsid w:val="000A3EF5"/>
    <w:rsid w:val="00173354"/>
    <w:rsid w:val="00267F07"/>
    <w:rsid w:val="002B740F"/>
    <w:rsid w:val="002F1514"/>
    <w:rsid w:val="004747C1"/>
    <w:rsid w:val="004965BF"/>
    <w:rsid w:val="004B735C"/>
    <w:rsid w:val="004E62B7"/>
    <w:rsid w:val="00557667"/>
    <w:rsid w:val="005C5DB8"/>
    <w:rsid w:val="00682FA5"/>
    <w:rsid w:val="006A346E"/>
    <w:rsid w:val="0071242D"/>
    <w:rsid w:val="00892A18"/>
    <w:rsid w:val="008A264A"/>
    <w:rsid w:val="00933A83"/>
    <w:rsid w:val="009A32AD"/>
    <w:rsid w:val="009B52ED"/>
    <w:rsid w:val="00A458BB"/>
    <w:rsid w:val="00A67FBF"/>
    <w:rsid w:val="00B640C2"/>
    <w:rsid w:val="00B775F4"/>
    <w:rsid w:val="00C7095D"/>
    <w:rsid w:val="00CC1418"/>
    <w:rsid w:val="00D55C25"/>
    <w:rsid w:val="00F572D6"/>
    <w:rsid w:val="00FF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DA5A"/>
  <w15:docId w15:val="{01D2DCFB-B2A9-411A-B894-3E56EB6F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A288F"/>
    <w:rPr>
      <w:sz w:val="16"/>
      <w:szCs w:val="16"/>
    </w:rPr>
  </w:style>
  <w:style w:type="paragraph" w:styleId="CommentText">
    <w:name w:val="annotation text"/>
    <w:basedOn w:val="Normal"/>
    <w:link w:val="CommentTextChar"/>
    <w:uiPriority w:val="99"/>
    <w:semiHidden/>
    <w:unhideWhenUsed/>
    <w:rsid w:val="00FA288F"/>
    <w:rPr>
      <w:sz w:val="20"/>
      <w:szCs w:val="20"/>
    </w:rPr>
  </w:style>
  <w:style w:type="character" w:customStyle="1" w:styleId="CommentTextChar">
    <w:name w:val="Comment Text Char"/>
    <w:basedOn w:val="DefaultParagraphFont"/>
    <w:link w:val="CommentText"/>
    <w:uiPriority w:val="99"/>
    <w:semiHidden/>
    <w:rsid w:val="00FA288F"/>
    <w:rPr>
      <w:sz w:val="20"/>
      <w:szCs w:val="20"/>
    </w:rPr>
  </w:style>
  <w:style w:type="paragraph" w:styleId="CommentSubject">
    <w:name w:val="annotation subject"/>
    <w:basedOn w:val="CommentText"/>
    <w:next w:val="CommentText"/>
    <w:link w:val="CommentSubjectChar"/>
    <w:uiPriority w:val="99"/>
    <w:semiHidden/>
    <w:unhideWhenUsed/>
    <w:rsid w:val="00FA288F"/>
    <w:rPr>
      <w:b/>
      <w:bCs/>
    </w:rPr>
  </w:style>
  <w:style w:type="character" w:customStyle="1" w:styleId="CommentSubjectChar">
    <w:name w:val="Comment Subject Char"/>
    <w:basedOn w:val="CommentTextChar"/>
    <w:link w:val="CommentSubject"/>
    <w:uiPriority w:val="99"/>
    <w:semiHidden/>
    <w:rsid w:val="00FA288F"/>
    <w:rPr>
      <w:b/>
      <w:bCs/>
      <w:sz w:val="20"/>
      <w:szCs w:val="20"/>
    </w:rPr>
  </w:style>
  <w:style w:type="paragraph" w:styleId="Header">
    <w:name w:val="header"/>
    <w:basedOn w:val="Normal"/>
    <w:link w:val="HeaderChar"/>
    <w:uiPriority w:val="99"/>
    <w:unhideWhenUsed/>
    <w:rsid w:val="00F27B40"/>
    <w:pPr>
      <w:tabs>
        <w:tab w:val="center" w:pos="4680"/>
        <w:tab w:val="right" w:pos="9360"/>
      </w:tabs>
    </w:pPr>
  </w:style>
  <w:style w:type="character" w:customStyle="1" w:styleId="HeaderChar">
    <w:name w:val="Header Char"/>
    <w:basedOn w:val="DefaultParagraphFont"/>
    <w:link w:val="Header"/>
    <w:uiPriority w:val="99"/>
    <w:rsid w:val="00F27B40"/>
  </w:style>
  <w:style w:type="paragraph" w:styleId="Footer">
    <w:name w:val="footer"/>
    <w:basedOn w:val="Normal"/>
    <w:link w:val="FooterChar"/>
    <w:uiPriority w:val="99"/>
    <w:unhideWhenUsed/>
    <w:rsid w:val="00F27B40"/>
    <w:pPr>
      <w:tabs>
        <w:tab w:val="center" w:pos="4680"/>
        <w:tab w:val="right" w:pos="9360"/>
      </w:tabs>
    </w:pPr>
  </w:style>
  <w:style w:type="character" w:customStyle="1" w:styleId="FooterChar">
    <w:name w:val="Footer Char"/>
    <w:basedOn w:val="DefaultParagraphFont"/>
    <w:link w:val="Footer"/>
    <w:uiPriority w:val="99"/>
    <w:rsid w:val="00F27B40"/>
  </w:style>
  <w:style w:type="table" w:customStyle="1" w:styleId="TableGrid1">
    <w:name w:val="Table Grid1"/>
    <w:basedOn w:val="TableNormal"/>
    <w:uiPriority w:val="59"/>
    <w:rsid w:val="005A192F"/>
    <w:pPr>
      <w:widowControl/>
    </w:pPr>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ED4"/>
    <w:pPr>
      <w:widowControl/>
      <w:spacing w:before="100" w:beforeAutospacing="1" w:after="100" w:afterAutospacing="1"/>
    </w:pPr>
    <w:rPr>
      <w:rFonts w:ascii="Times New Roman" w:eastAsia="Times New Roman" w:hAnsi="Times New Roman" w:cs="Times New Roman"/>
      <w:sz w:val="24"/>
      <w:szCs w:val="24"/>
    </w:rPr>
  </w:style>
  <w:style w:type="table" w:customStyle="1" w:styleId="a2">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3">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4">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5">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6">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7">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8">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9">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a">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b">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c">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d">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e">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0">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2B740F"/>
    <w:rPr>
      <w:color w:val="0000FF"/>
      <w:u w:val="single"/>
    </w:rPr>
  </w:style>
  <w:style w:type="character" w:styleId="HTMLCite">
    <w:name w:val="HTML Cite"/>
    <w:basedOn w:val="DefaultParagraphFont"/>
    <w:uiPriority w:val="99"/>
    <w:semiHidden/>
    <w:unhideWhenUsed/>
    <w:rsid w:val="002B7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ile.loc.gov/storage-services/service/ll/usrep/usrep347/usrep347483/usrep347483.pdf" TargetMode="External"/><Relationship Id="rId3" Type="http://schemas.openxmlformats.org/officeDocument/2006/relationships/settings" Target="settings.xml"/><Relationship Id="rId7" Type="http://schemas.openxmlformats.org/officeDocument/2006/relationships/hyperlink" Target="https://tile.loc.gov/storage-services/service/ll/usrep/usrep344/usrep344141/usrep34414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ichlandoneschooldist-my.sharepoint.com/:b:/g/personal/laura_haverkamp_richlandone_org/EabuyDP4DexIvzds9ULWdYIBnZq03JmMDa--zqrFxVQZ-A?e=qBuYIl" TargetMode="External"/><Relationship Id="rId4" Type="http://schemas.openxmlformats.org/officeDocument/2006/relationships/webSettings" Target="webSettings.xml"/><Relationship Id="rId9" Type="http://schemas.openxmlformats.org/officeDocument/2006/relationships/hyperlink" Target="https://lccn.loc.gov/201063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AdG2sYVbzz+NSu6gJeb/HREJ7A==">AMUW2mVURnLHl0I/F9MpuU+kkOEOeX9OT8M/PEDQUbBbwRGr3+MlGuGPdyEGw9tSKlXbd4HkOtKkJuW+1NiBhL/i2JBlVdPTvre2cldOdJq17xnSf03H1PI=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Pascarella</dc:creator>
  <cp:lastModifiedBy>Spiering, Jenna</cp:lastModifiedBy>
  <cp:revision>2</cp:revision>
  <dcterms:created xsi:type="dcterms:W3CDTF">2022-05-31T14:57:00Z</dcterms:created>
  <dcterms:modified xsi:type="dcterms:W3CDTF">2022-05-31T14:57:00Z</dcterms:modified>
</cp:coreProperties>
</file>